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B" w:rsidRDefault="0001567B" w:rsidP="0001567B">
      <w:pPr>
        <w:rPr>
          <w:i/>
        </w:rPr>
      </w:pPr>
      <w:r>
        <w:rPr>
          <w:i/>
        </w:rPr>
        <w:t xml:space="preserve">Prijedlog </w:t>
      </w:r>
    </w:p>
    <w:p w:rsidR="0001567B" w:rsidRDefault="0001567B" w:rsidP="0001567B">
      <w:pPr>
        <w:jc w:val="both"/>
      </w:pPr>
      <w:r>
        <w:tab/>
      </w:r>
    </w:p>
    <w:p w:rsidR="0001567B" w:rsidRDefault="0001567B" w:rsidP="0001567B">
      <w:pPr>
        <w:ind w:firstLine="708"/>
        <w:jc w:val="both"/>
      </w:pPr>
      <w:r>
        <w:t>Na temelju članka 9. stavka 2. i članka 41. stavka 1. Zakona o ugostiteljskoj djelatnosti (Narodne Novine br. 85/15) i članka 33.  Statuta Grada Velike Gorice (Službeni glasnik Grada Velike Gorice  br. 1/13), Gradsko vijeće Grada Velike Gorice na svojoj __ sjednici održanoj dana __________2016. donosi</w:t>
      </w:r>
    </w:p>
    <w:p w:rsidR="0001567B" w:rsidRDefault="0001567B" w:rsidP="0001567B">
      <w:pPr>
        <w:rPr>
          <w:b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ODLUKU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 xml:space="preserve">o radnom vremenu ugostiteljskih objekata 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na području Grada Velike Gorice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Članak 1.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ab/>
        <w:t>Ovom se Odlukom propisuje drugačije radno vrijeme ugostiteljskih objekata od propisanog Zakonom o ugostiteljskoj djelatnosti (u daljnjem tekstu: Zakon) i uvjeti za isto, radno vrijeme pojedinih vrsta ugostiteljskih objekata, radno vrijeme prostora za usluživanje na otvorenom,</w:t>
      </w:r>
      <w:r>
        <w:rPr>
          <w:rFonts w:eastAsia="TimesNewRomanPSMT"/>
          <w:color w:val="FF0000"/>
          <w:lang w:eastAsia="en-US"/>
        </w:rPr>
        <w:t xml:space="preserve"> </w:t>
      </w:r>
      <w:r>
        <w:rPr>
          <w:rFonts w:eastAsia="TimesNewRomanPSMT"/>
          <w:lang w:eastAsia="en-US"/>
        </w:rPr>
        <w:t>određuju se lokacije izvan naseljenog područja naselja te utvrđuju kriteriji za raniji završetak radnog vremena ugostiteljskih objekata.</w:t>
      </w:r>
    </w:p>
    <w:p w:rsidR="0001567B" w:rsidRDefault="0001567B" w:rsidP="0001567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ab/>
        <w:t>Ovom se Odlukom propisuje i radno vrijeme objekata na obiteljskim poljoprivrednim gospodarstvima unutar kojih se mogu pružati ugostiteljske usluge.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Članak 2.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ab/>
        <w:t>Ugostiteljski objekti iz skupine:</w:t>
      </w:r>
    </w:p>
    <w:p w:rsidR="0001567B" w:rsidRDefault="0001567B" w:rsidP="0001567B">
      <w:pPr>
        <w:jc w:val="both"/>
      </w:pPr>
      <w:r>
        <w:t xml:space="preserve">  </w:t>
      </w:r>
      <w:r>
        <w:tab/>
        <w:t xml:space="preserve">- “Restorani“ (restoran, gostionica, zdravljak, zalogajnica, pečenjarnica, </w:t>
      </w:r>
      <w:proofErr w:type="spellStart"/>
      <w:r>
        <w:t>pizzeria</w:t>
      </w:r>
      <w:proofErr w:type="spellEnd"/>
      <w:r>
        <w:t>, bistro, slastičarnica i objekt brze prehrane) i</w:t>
      </w:r>
    </w:p>
    <w:p w:rsidR="0001567B" w:rsidRDefault="0001567B" w:rsidP="0001567B">
      <w:pPr>
        <w:ind w:firstLine="708"/>
        <w:jc w:val="both"/>
      </w:pPr>
      <w:r>
        <w:t xml:space="preserve">-  “Barovi“ (kavana, </w:t>
      </w:r>
      <w:proofErr w:type="spellStart"/>
      <w:r>
        <w:t>caffe</w:t>
      </w:r>
      <w:proofErr w:type="spellEnd"/>
      <w:r>
        <w:t xml:space="preserve">-bar, pivnica, </w:t>
      </w:r>
      <w:proofErr w:type="spellStart"/>
      <w:r>
        <w:t>buffet</w:t>
      </w:r>
      <w:proofErr w:type="spellEnd"/>
      <w:r>
        <w:t xml:space="preserve">, krčma, konoba, klet, kušaonica i beach-bar) mogu raditi od 6.00 do 24.00 sata.                               </w:t>
      </w:r>
    </w:p>
    <w:p w:rsidR="0001567B" w:rsidRDefault="0001567B" w:rsidP="0001567B">
      <w:pPr>
        <w:jc w:val="both"/>
      </w:pPr>
      <w:r>
        <w:tab/>
        <w:t>Iznimno, od stavka 1. ovog članka, ugostiteljski objekti iz skupine „Restorani“ i „Barovi“ mogu raditi petkom i subotom te na dane uoči blagdana od 6.00 do 2.00 sata.</w:t>
      </w:r>
    </w:p>
    <w:p w:rsidR="0001567B" w:rsidRDefault="0001567B" w:rsidP="0001567B">
      <w:pPr>
        <w:ind w:firstLine="708"/>
        <w:jc w:val="both"/>
      </w:pPr>
      <w:r>
        <w:t xml:space="preserve">Ugostiteljski objekti  iz stavka 1.i 2. ovog članka mogu raditi do 2.00 sata pod uvjetom da ishode Rješenje nadležnog tijela da su provedene mjere zaštite od buke u noćnim uvjetima rada.            </w:t>
      </w:r>
    </w:p>
    <w:p w:rsidR="0001567B" w:rsidRDefault="0001567B" w:rsidP="0001567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lang w:eastAsia="en-US"/>
        </w:rPr>
      </w:pPr>
      <w:r>
        <w:rPr>
          <w:rFonts w:eastAsia="TimesNewRomanPS-BoldMT"/>
          <w:b/>
          <w:bCs/>
          <w:color w:val="000000"/>
          <w:lang w:eastAsia="en-US"/>
        </w:rPr>
        <w:t>Članak 3.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lang w:eastAsia="en-US"/>
        </w:rPr>
      </w:pPr>
      <w:r>
        <w:rPr>
          <w:rFonts w:eastAsia="TimesNewRomanPS-BoldMT"/>
          <w:bCs/>
          <w:color w:val="FF0000"/>
          <w:lang w:eastAsia="en-US"/>
        </w:rPr>
        <w:tab/>
      </w:r>
      <w:r>
        <w:rPr>
          <w:rFonts w:eastAsia="TimesNewRomanPS-BoldMT"/>
          <w:bCs/>
          <w:color w:val="000000"/>
          <w:lang w:eastAsia="en-US"/>
        </w:rPr>
        <w:t>Radno vrijeme ugostiteljskih objekata na otvorenom prostoru (terase) počinje i završava u vremenu rada ugostiteljskog objekta.</w:t>
      </w:r>
    </w:p>
    <w:p w:rsidR="0001567B" w:rsidRDefault="0001567B" w:rsidP="0001567B">
      <w:pPr>
        <w:autoSpaceDE w:val="0"/>
        <w:autoSpaceDN w:val="0"/>
        <w:adjustRightInd w:val="0"/>
        <w:rPr>
          <w:rFonts w:eastAsia="TimesNewRomanPS-BoldMT"/>
          <w:bCs/>
          <w:color w:val="FF0000"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  <w:lang w:eastAsia="en-US"/>
        </w:rPr>
      </w:pPr>
      <w:r>
        <w:rPr>
          <w:rFonts w:eastAsia="TimesNewRomanPS-BoldMT"/>
          <w:b/>
          <w:bCs/>
          <w:sz w:val="22"/>
          <w:szCs w:val="22"/>
          <w:lang w:eastAsia="en-US"/>
        </w:rPr>
        <w:t>Članak 4.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  <w:lang w:eastAsia="en-US"/>
        </w:rPr>
      </w:pPr>
    </w:p>
    <w:p w:rsidR="0001567B" w:rsidRDefault="0001567B" w:rsidP="0001567B">
      <w:pPr>
        <w:tabs>
          <w:tab w:val="left" w:pos="840"/>
        </w:tabs>
        <w:autoSpaceDE w:val="0"/>
        <w:autoSpaceDN w:val="0"/>
        <w:adjustRightInd w:val="0"/>
        <w:jc w:val="both"/>
        <w:rPr>
          <w:rFonts w:eastAsia="TimesNewRomanPS-BoldMT"/>
          <w:bCs/>
          <w:lang w:eastAsia="en-US"/>
        </w:rPr>
      </w:pPr>
      <w:r>
        <w:rPr>
          <w:rFonts w:eastAsia="TimesNewRomanPS-BoldMT"/>
          <w:b/>
          <w:bCs/>
          <w:sz w:val="22"/>
          <w:szCs w:val="22"/>
          <w:lang w:eastAsia="en-US"/>
        </w:rPr>
        <w:tab/>
      </w:r>
      <w:r>
        <w:rPr>
          <w:rFonts w:eastAsia="TimesNewRomanPS-BoldMT"/>
          <w:bCs/>
          <w:lang w:eastAsia="en-US"/>
        </w:rPr>
        <w:t>Objekti jednostavnih usluga na klupi i na kolicima (ili sličnim napravama) mogu raditi od 6.00 do 24.00 sata.</w:t>
      </w:r>
    </w:p>
    <w:p w:rsidR="0001567B" w:rsidRDefault="0001567B" w:rsidP="0001567B">
      <w:pPr>
        <w:tabs>
          <w:tab w:val="left" w:pos="840"/>
        </w:tabs>
        <w:autoSpaceDE w:val="0"/>
        <w:autoSpaceDN w:val="0"/>
        <w:adjustRightInd w:val="0"/>
        <w:jc w:val="both"/>
        <w:rPr>
          <w:rFonts w:eastAsia="TimesNewRomanPS-BoldMT"/>
          <w:bCs/>
          <w:lang w:eastAsia="en-US"/>
        </w:rPr>
      </w:pPr>
      <w:r>
        <w:rPr>
          <w:rFonts w:eastAsia="TimesNewRomanPS-BoldMT"/>
          <w:bCs/>
          <w:lang w:eastAsia="en-US"/>
        </w:rPr>
        <w:tab/>
        <w:t>Objekti jednostavnih usluga u kiosku, u nepokretnom (ili priključnom) vozilu, u šatoru te objekti jednostavnih  brzih usluga mogu raditi od 6.00 do 1.00 sat, iznimno petkom i subotom do 3.00 sata.</w:t>
      </w:r>
    </w:p>
    <w:p w:rsidR="0001567B" w:rsidRDefault="0001567B" w:rsidP="0001567B">
      <w:pPr>
        <w:tabs>
          <w:tab w:val="left" w:pos="840"/>
        </w:tabs>
        <w:autoSpaceDE w:val="0"/>
        <w:autoSpaceDN w:val="0"/>
        <w:adjustRightInd w:val="0"/>
        <w:jc w:val="both"/>
        <w:rPr>
          <w:rFonts w:eastAsia="TimesNewRomanPS-BoldMT"/>
          <w:bCs/>
          <w:lang w:eastAsia="en-US"/>
        </w:rPr>
      </w:pPr>
    </w:p>
    <w:p w:rsidR="0001567B" w:rsidRDefault="0001567B" w:rsidP="0001567B">
      <w:pPr>
        <w:tabs>
          <w:tab w:val="left" w:pos="840"/>
        </w:tabs>
        <w:autoSpaceDE w:val="0"/>
        <w:autoSpaceDN w:val="0"/>
        <w:adjustRightInd w:val="0"/>
        <w:jc w:val="both"/>
        <w:rPr>
          <w:rFonts w:eastAsia="TimesNewRomanPS-BoldMT"/>
          <w:bCs/>
          <w:lang w:eastAsia="en-US"/>
        </w:rPr>
      </w:pPr>
      <w:r>
        <w:rPr>
          <w:rFonts w:eastAsia="TimesNewRomanPS-BoldMT"/>
          <w:bCs/>
          <w:lang w:eastAsia="en-US"/>
        </w:rPr>
        <w:tab/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  <w:lang w:eastAsia="en-US"/>
        </w:rPr>
      </w:pPr>
      <w:r>
        <w:rPr>
          <w:rFonts w:eastAsia="TimesNewRomanPS-BoldMT"/>
          <w:b/>
          <w:bCs/>
          <w:sz w:val="22"/>
          <w:szCs w:val="22"/>
          <w:lang w:eastAsia="en-US"/>
        </w:rPr>
        <w:lastRenderedPageBreak/>
        <w:t>Članak 5.</w:t>
      </w:r>
    </w:p>
    <w:p w:rsidR="0001567B" w:rsidRDefault="0001567B" w:rsidP="0001567B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2"/>
          <w:szCs w:val="22"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lang w:eastAsia="en-US"/>
        </w:rPr>
      </w:pPr>
      <w:r>
        <w:rPr>
          <w:rFonts w:eastAsia="TimesNewRomanPSMT"/>
          <w:color w:val="000000"/>
          <w:lang w:eastAsia="en-US"/>
        </w:rPr>
        <w:t xml:space="preserve"> Ugostiteljski objekti iz skupine “</w:t>
      </w:r>
      <w:proofErr w:type="spellStart"/>
      <w:r>
        <w:rPr>
          <w:rFonts w:eastAsia="TimesNewRomanPSMT"/>
          <w:color w:val="000000"/>
          <w:lang w:eastAsia="en-US"/>
        </w:rPr>
        <w:t>Catering</w:t>
      </w:r>
      <w:proofErr w:type="spellEnd"/>
      <w:r>
        <w:rPr>
          <w:rFonts w:eastAsia="TimesNewRomanPSMT"/>
          <w:color w:val="000000"/>
          <w:lang w:eastAsia="en-US"/>
        </w:rPr>
        <w:t xml:space="preserve"> objekti“  mogu raditi od 6.00 do 24.00 sata.</w:t>
      </w:r>
    </w:p>
    <w:p w:rsidR="0001567B" w:rsidRDefault="0001567B" w:rsidP="0001567B">
      <w:pPr>
        <w:autoSpaceDE w:val="0"/>
        <w:autoSpaceDN w:val="0"/>
        <w:adjustRightInd w:val="0"/>
        <w:rPr>
          <w:rFonts w:eastAsia="TimesNewRomanPS-BoldMT"/>
          <w:b/>
          <w:bCs/>
          <w:sz w:val="22"/>
          <w:szCs w:val="22"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  <w:lang w:eastAsia="en-US"/>
        </w:rPr>
      </w:pPr>
      <w:r>
        <w:rPr>
          <w:rFonts w:eastAsia="TimesNewRomanPS-BoldMT"/>
          <w:b/>
          <w:bCs/>
          <w:sz w:val="22"/>
          <w:szCs w:val="22"/>
          <w:lang w:eastAsia="en-US"/>
        </w:rPr>
        <w:t>Članak 6.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  <w:lang w:eastAsia="en-US"/>
        </w:rPr>
      </w:pPr>
    </w:p>
    <w:p w:rsidR="0001567B" w:rsidRDefault="0001567B" w:rsidP="0001567B">
      <w:pPr>
        <w:tabs>
          <w:tab w:val="left" w:pos="1020"/>
        </w:tabs>
        <w:autoSpaceDE w:val="0"/>
        <w:autoSpaceDN w:val="0"/>
        <w:adjustRightInd w:val="0"/>
        <w:jc w:val="both"/>
        <w:rPr>
          <w:rFonts w:eastAsia="TimesNewRomanPS-BoldMT"/>
          <w:bCs/>
          <w:lang w:eastAsia="en-US"/>
        </w:rPr>
      </w:pPr>
      <w:r>
        <w:rPr>
          <w:rFonts w:eastAsia="TimesNewRomanPS-BoldMT"/>
          <w:b/>
          <w:bCs/>
          <w:sz w:val="22"/>
          <w:szCs w:val="22"/>
          <w:lang w:eastAsia="en-US"/>
        </w:rPr>
        <w:tab/>
      </w:r>
      <w:r>
        <w:rPr>
          <w:rFonts w:eastAsia="TimesNewRomanPS-BoldMT"/>
          <w:bCs/>
          <w:lang w:eastAsia="en-US"/>
        </w:rPr>
        <w:t>Objekti na obiteljskim poljoprivrednim gospodarstvima unutar kojih se pružaju ugostiteljske usluge smještaja mogu raditi od 0.00 do 24.00 sata, a objekti unutar kojih se pružaju ostale ugostiteljske usluge mogu raditi od 6.00 do 24.00  sata.</w:t>
      </w:r>
    </w:p>
    <w:p w:rsidR="0001567B" w:rsidRDefault="0001567B" w:rsidP="0001567B">
      <w:pPr>
        <w:autoSpaceDE w:val="0"/>
        <w:autoSpaceDN w:val="0"/>
        <w:adjustRightInd w:val="0"/>
        <w:rPr>
          <w:rFonts w:eastAsia="TimesNewRomanPS-BoldMT"/>
          <w:b/>
          <w:bCs/>
          <w:sz w:val="22"/>
          <w:szCs w:val="22"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  <w:lang w:eastAsia="en-US"/>
        </w:rPr>
      </w:pPr>
      <w:r>
        <w:rPr>
          <w:rFonts w:eastAsia="TimesNewRomanPS-BoldMT"/>
          <w:b/>
          <w:bCs/>
          <w:sz w:val="22"/>
          <w:szCs w:val="22"/>
          <w:lang w:eastAsia="en-US"/>
        </w:rPr>
        <w:t>Članak 7.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2"/>
          <w:szCs w:val="22"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ab/>
        <w:t>Ugostiteljski objekti iz skupine “Restorani” i “Barovi” koji se nalaze izvan naseljenih područja naselja mogu raditi od 0.00 do 24.00 sata.</w:t>
      </w:r>
    </w:p>
    <w:p w:rsidR="0001567B" w:rsidRDefault="0001567B" w:rsidP="0001567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lang w:eastAsia="en-US"/>
        </w:rPr>
        <w:t>U smislu gore navedenog, smatraju se ugostiteljski objekti koji se nalaze izvan građevinskog područja naselja i u građevinskom području izdvojene namjene za ugostiteljstvo, turizam, šport i rekreaciju utvrđeno Prostornim planom uređenja Grada Velike Gorice</w:t>
      </w:r>
      <w:r>
        <w:rPr>
          <w:rFonts w:eastAsia="TimesNewRomanPSMT"/>
          <w:sz w:val="22"/>
          <w:szCs w:val="22"/>
          <w:lang w:eastAsia="en-US"/>
        </w:rPr>
        <w:t>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Članak 8.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lang w:eastAsia="en-US"/>
        </w:rPr>
      </w:pPr>
      <w:r>
        <w:rPr>
          <w:rFonts w:eastAsia="TimesNewRomanPSMT"/>
          <w:color w:val="000000"/>
          <w:lang w:eastAsia="en-US"/>
        </w:rPr>
        <w:t>Gradonačelnik Grada Velike Gorice može, po službenoj dužnosti, rješenjem odrediti raniji završetak radnog vremena za dva (2) sata ugostiteljskim objektima iz skupine „Restorani“ i „Barovi“ koji sukladno Zakonu mogu raditi od 6.00 do 24.00 sata te ugostiteljskim objektima iz članka 2. i članka 4. ove odluke,</w:t>
      </w:r>
      <w:r w:rsidRPr="00926A17">
        <w:rPr>
          <w:rFonts w:eastAsia="TimesNewRomanPSMT"/>
          <w:color w:val="000000"/>
          <w:lang w:eastAsia="en-US"/>
        </w:rPr>
        <w:t xml:space="preserve"> u trajanju od 12 mjeseci.</w:t>
      </w:r>
      <w:r>
        <w:rPr>
          <w:rFonts w:eastAsia="TimesNewRomanPSMT"/>
          <w:color w:val="000000"/>
          <w:lang w:eastAsia="en-US"/>
        </w:rPr>
        <w:t xml:space="preserve"> </w:t>
      </w:r>
    </w:p>
    <w:p w:rsidR="0001567B" w:rsidRDefault="0001567B" w:rsidP="0001567B">
      <w:pPr>
        <w:autoSpaceDE w:val="0"/>
        <w:autoSpaceDN w:val="0"/>
        <w:adjustRightInd w:val="0"/>
        <w:ind w:firstLine="708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Rješenje iz stavka 1. ovog članka gradonačelnik može donijeti ako se u provedenom postupku utvrdi da su u roku od godinu dana prije pokretanja postupka ugostitelju izrečene najmanje dvije pravomoćne odluke u prekršajnom postupku zbog narušavanja javnog reda i mira u ugostiteljskom objektu ili zbog nepridržavanja propisanoga radnog vremena ili zbog neprovođenja mjera za zaštitu od buke.</w:t>
      </w:r>
    </w:p>
    <w:p w:rsidR="0001567B" w:rsidRDefault="0001567B" w:rsidP="0001567B">
      <w:pPr>
        <w:autoSpaceDE w:val="0"/>
        <w:autoSpaceDN w:val="0"/>
        <w:adjustRightInd w:val="0"/>
        <w:ind w:firstLine="708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Postupak iz stavka 1. ovog članka provodi Upravni odjel za poduzetništvo, investicije i fondove EU, na osnovi pisane predstavke građana, nadležne inspekcije te nadležne policijske postaje.</w:t>
      </w:r>
    </w:p>
    <w:p w:rsidR="0001567B" w:rsidRDefault="0001567B" w:rsidP="0001567B">
      <w:pPr>
        <w:autoSpaceDE w:val="0"/>
        <w:autoSpaceDN w:val="0"/>
        <w:adjustRightInd w:val="0"/>
        <w:ind w:firstLine="708"/>
        <w:jc w:val="both"/>
        <w:rPr>
          <w:rFonts w:eastAsia="TimesNewRomanPSMT"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Članak 9.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ab/>
        <w:t>Gradonačelnik može, na zahtjev ugostitelja, rješenjem odrediti drugačije radno vrijeme od propisanoga Zakonom i ovom odlukom, ugostiteljskom objektu iz skupina “Restorani“ i “Barovi“, a radi organiziranja prigodnih proslava (dočeka Nove godine, svadbi, maturalnih zabava i sličnih događanja).</w:t>
      </w:r>
      <w:r>
        <w:rPr>
          <w:rFonts w:eastAsia="TimesNewRomanPSMT"/>
          <w:lang w:eastAsia="en-US"/>
        </w:rPr>
        <w:tab/>
      </w:r>
    </w:p>
    <w:p w:rsidR="0001567B" w:rsidRPr="007F5195" w:rsidRDefault="0001567B" w:rsidP="0001567B">
      <w:pPr>
        <w:jc w:val="both"/>
        <w:rPr>
          <w:rFonts w:eastAsia="TimesNewRomanPSMT"/>
          <w:lang w:eastAsia="en-US"/>
        </w:rPr>
      </w:pPr>
      <w:r>
        <w:rPr>
          <w:lang w:val="en-AU"/>
        </w:rPr>
        <w:tab/>
      </w:r>
      <w:r w:rsidRPr="007F5195">
        <w:t>Duže radno vrijeme može se odobriti ugostiteljskom objektu iz stavka 1.</w:t>
      </w:r>
      <w:r>
        <w:t xml:space="preserve"> </w:t>
      </w:r>
      <w:r w:rsidRPr="007F5195">
        <w:t xml:space="preserve">ovog članka, po prethodno donesenom rješenju nadležnog tijela kojim je utvrđeno da su provedene mjere zaštite od buke za noćne uvjete rada, </w:t>
      </w:r>
      <w:r w:rsidRPr="007F5195">
        <w:rPr>
          <w:rFonts w:eastAsia="TimesNewRomanPSMT"/>
          <w:lang w:eastAsia="en-US"/>
        </w:rPr>
        <w:t xml:space="preserve">rješenju kojim su utvrđeni minimalni uvjeti za obavljanje ugostiteljske djelatnosti </w:t>
      </w:r>
      <w:r w:rsidRPr="007F5195">
        <w:t>i po pr</w:t>
      </w:r>
      <w:r>
        <w:t xml:space="preserve">ethodno pribavljenom mišljenju vijeća gradske četvrti ili </w:t>
      </w:r>
      <w:r w:rsidRPr="007F5195">
        <w:t>mjesnog odbora</w:t>
      </w:r>
      <w:r>
        <w:t>, odnosno predsjednika vijeća,</w:t>
      </w:r>
      <w:r w:rsidRPr="007F5195">
        <w:t xml:space="preserve"> gdje se nalazi ugostiteljski objekt.</w:t>
      </w:r>
    </w:p>
    <w:p w:rsidR="0001567B" w:rsidRDefault="0001567B" w:rsidP="0001567B">
      <w:pPr>
        <w:jc w:val="both"/>
      </w:pPr>
      <w:r w:rsidRPr="007F5195">
        <w:tab/>
        <w:t>Ugostitelj je dužan zahtjev s propisanom dokumentacijom podnijeti Upravnom odjelu za poduzetništvo, invest</w:t>
      </w:r>
      <w:r>
        <w:t>icije i fondove EU najkasnije 7</w:t>
      </w:r>
      <w:r w:rsidRPr="007F5195">
        <w:t xml:space="preserve"> dana prije održavanja prigodne proslave.</w:t>
      </w:r>
    </w:p>
    <w:p w:rsidR="0001567B" w:rsidRDefault="0001567B" w:rsidP="0001567B">
      <w:pPr>
        <w:jc w:val="both"/>
      </w:pPr>
    </w:p>
    <w:p w:rsidR="0001567B" w:rsidRDefault="0001567B" w:rsidP="0001567B">
      <w:pPr>
        <w:autoSpaceDE w:val="0"/>
        <w:autoSpaceDN w:val="0"/>
        <w:adjustRightInd w:val="0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lastRenderedPageBreak/>
        <w:t>Članak 10.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lang w:eastAsia="en-US"/>
        </w:rPr>
      </w:pPr>
      <w:r>
        <w:rPr>
          <w:rFonts w:eastAsia="TimesNewRomanPS-BoldMT"/>
          <w:bCs/>
          <w:lang w:eastAsia="en-US"/>
        </w:rPr>
        <w:t>Gradonačelnik može, na temelju zahtjeva organizatora manifestacija (sajmova, sportskih događanja, koncerata i sličnih događanja) koji se održavaju pod pokroviteljstvom Grada Velike Gorice i/ili Turističke zajednice Grada Velike Gorice, odrediti drugačije radno vrijeme ugostiteljskih objekata iz skupine “Restorani“ i “Barovi“,  najduže do 4.00 sata.</w:t>
      </w:r>
    </w:p>
    <w:p w:rsidR="0001567B" w:rsidRDefault="0001567B" w:rsidP="0001567B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lang w:eastAsia="en-US"/>
        </w:rPr>
      </w:pPr>
      <w:r>
        <w:rPr>
          <w:rFonts w:eastAsia="TimesNewRomanPS-BoldMT"/>
          <w:bCs/>
          <w:lang w:eastAsia="en-US"/>
        </w:rPr>
        <w:t>Zahtjev iz stavka 1. ovog članka podnosi se najkasnije u roku od 7 dana prije dana održavanja manifestacije.</w:t>
      </w:r>
    </w:p>
    <w:p w:rsidR="0001567B" w:rsidRDefault="0001567B" w:rsidP="0001567B">
      <w:pPr>
        <w:autoSpaceDE w:val="0"/>
        <w:autoSpaceDN w:val="0"/>
        <w:adjustRightInd w:val="0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Članak 11.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tabs>
          <w:tab w:val="left" w:pos="900"/>
        </w:tabs>
        <w:autoSpaceDE w:val="0"/>
        <w:autoSpaceDN w:val="0"/>
        <w:adjustRightInd w:val="0"/>
        <w:rPr>
          <w:rFonts w:eastAsia="TimesNewRomanPS-BoldMT"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ab/>
      </w:r>
      <w:r>
        <w:rPr>
          <w:rFonts w:eastAsia="TimesNewRomanPS-BoldMT"/>
          <w:bCs/>
          <w:lang w:eastAsia="en-US"/>
        </w:rPr>
        <w:t>Nadzor nad provedbom ove odluke obavljaju nadležne inspekcijske službe.</w:t>
      </w:r>
    </w:p>
    <w:p w:rsidR="0001567B" w:rsidRDefault="0001567B" w:rsidP="0001567B">
      <w:pPr>
        <w:tabs>
          <w:tab w:val="left" w:pos="900"/>
        </w:tabs>
        <w:autoSpaceDE w:val="0"/>
        <w:autoSpaceDN w:val="0"/>
        <w:adjustRightInd w:val="0"/>
        <w:rPr>
          <w:rFonts w:eastAsia="TimesNewRomanPS-BoldMT"/>
          <w:bCs/>
          <w:lang w:eastAsia="en-US"/>
        </w:rPr>
      </w:pPr>
    </w:p>
    <w:p w:rsidR="0001567B" w:rsidRDefault="0001567B" w:rsidP="0001567B">
      <w:pPr>
        <w:tabs>
          <w:tab w:val="left" w:pos="900"/>
        </w:tabs>
        <w:autoSpaceDE w:val="0"/>
        <w:autoSpaceDN w:val="0"/>
        <w:adjustRightInd w:val="0"/>
        <w:rPr>
          <w:rFonts w:eastAsia="TimesNewRomanPS-BoldMT"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Članak 12.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ab/>
        <w:t>Stupanjem na snagu ove Odluke prestaje važiti “Odluka o radnom vremenu ugostiteljskih objekata” (Službeni glasnik Grada Velike Gorice 4/07, 5/12 i 9/12).</w:t>
      </w:r>
    </w:p>
    <w:p w:rsidR="0001567B" w:rsidRDefault="0001567B" w:rsidP="0001567B">
      <w:pPr>
        <w:autoSpaceDE w:val="0"/>
        <w:autoSpaceDN w:val="0"/>
        <w:adjustRightInd w:val="0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Članak 13.</w:t>
      </w:r>
    </w:p>
    <w:p w:rsidR="0001567B" w:rsidRDefault="0001567B" w:rsidP="0001567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01567B" w:rsidRDefault="0001567B" w:rsidP="0001567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ab/>
        <w:t xml:space="preserve">Ova Odluka stupa na snagu osmog dana od dana objave u Službenom glasniku Grada Velike Gorice. </w:t>
      </w:r>
    </w:p>
    <w:p w:rsidR="0001567B" w:rsidRDefault="0001567B" w:rsidP="0001567B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01567B" w:rsidRDefault="0001567B" w:rsidP="0001567B">
      <w:pPr>
        <w:ind w:left="6372"/>
        <w:jc w:val="center"/>
        <w:rPr>
          <w:rFonts w:eastAsia="TimesNewRomanPSMT"/>
          <w:b/>
          <w:lang w:eastAsia="en-US"/>
        </w:rPr>
      </w:pPr>
    </w:p>
    <w:p w:rsidR="0001567B" w:rsidRDefault="0001567B" w:rsidP="0001567B">
      <w:pPr>
        <w:ind w:left="6372"/>
        <w:jc w:val="center"/>
        <w:rPr>
          <w:rFonts w:eastAsia="TimesNewRomanPSMT"/>
          <w:b/>
          <w:lang w:eastAsia="en-US"/>
        </w:rPr>
      </w:pPr>
      <w:r>
        <w:rPr>
          <w:rFonts w:eastAsia="TimesNewRomanPSMT"/>
          <w:b/>
          <w:lang w:eastAsia="en-US"/>
        </w:rPr>
        <w:t>PREDSJEDNIK GRADSKOG VIJEĆA</w:t>
      </w:r>
    </w:p>
    <w:p w:rsidR="0001567B" w:rsidRDefault="0001567B" w:rsidP="0001567B">
      <w:pPr>
        <w:ind w:left="6372"/>
        <w:jc w:val="center"/>
        <w:rPr>
          <w:rFonts w:eastAsia="TimesNewRomanPSMT"/>
          <w:lang w:eastAsia="en-US"/>
        </w:rPr>
      </w:pPr>
    </w:p>
    <w:p w:rsidR="0001567B" w:rsidRDefault="0001567B" w:rsidP="0001567B">
      <w:pPr>
        <w:ind w:left="6372"/>
        <w:jc w:val="center"/>
        <w:rPr>
          <w:rFonts w:eastAsia="TimesNewRomanPSMT"/>
          <w:b/>
          <w:lang w:eastAsia="en-US"/>
        </w:rPr>
      </w:pPr>
      <w:r>
        <w:rPr>
          <w:rFonts w:eastAsia="TimesNewRomanPSMT"/>
          <w:b/>
          <w:lang w:eastAsia="en-US"/>
        </w:rPr>
        <w:t>Tomo Vidović</w:t>
      </w:r>
    </w:p>
    <w:p w:rsidR="0001567B" w:rsidRDefault="0001567B" w:rsidP="0001567B">
      <w:pPr>
        <w:rPr>
          <w:i/>
        </w:rPr>
      </w:pPr>
      <w:r>
        <w:rPr>
          <w:i/>
        </w:rPr>
        <w:t xml:space="preserve">     </w:t>
      </w:r>
    </w:p>
    <w:p w:rsidR="0001567B" w:rsidRDefault="0001567B" w:rsidP="0001567B">
      <w:pPr>
        <w:ind w:left="7080"/>
        <w:jc w:val="right"/>
        <w:rPr>
          <w:i/>
        </w:rPr>
      </w:pPr>
    </w:p>
    <w:p w:rsidR="0001567B" w:rsidRDefault="0001567B" w:rsidP="0001567B">
      <w:pPr>
        <w:ind w:left="7080"/>
        <w:jc w:val="right"/>
        <w:rPr>
          <w:i/>
        </w:rPr>
      </w:pPr>
    </w:p>
    <w:p w:rsidR="0001567B" w:rsidRDefault="0001567B" w:rsidP="0001567B">
      <w:pPr>
        <w:ind w:left="7080"/>
        <w:jc w:val="right"/>
        <w:rPr>
          <w:i/>
        </w:rPr>
      </w:pPr>
    </w:p>
    <w:p w:rsidR="0001567B" w:rsidRDefault="0001567B" w:rsidP="0001567B">
      <w:pPr>
        <w:ind w:left="7080"/>
        <w:jc w:val="right"/>
        <w:rPr>
          <w:i/>
        </w:rPr>
      </w:pPr>
    </w:p>
    <w:p w:rsidR="008B7FD5" w:rsidRDefault="008B7FD5"/>
    <w:sectPr w:rsidR="008B7FD5" w:rsidSect="008B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67B"/>
    <w:rsid w:val="0001567B"/>
    <w:rsid w:val="008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2016-09-29T12:37:00Z</dcterms:created>
  <dcterms:modified xsi:type="dcterms:W3CDTF">2016-09-29T12:39:00Z</dcterms:modified>
</cp:coreProperties>
</file>