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Layout w:type="fixed"/>
        <w:tblCellMar>
          <w:left w:w="0" w:type="dxa"/>
          <w:right w:w="0" w:type="dxa"/>
        </w:tblCellMar>
        <w:tblLook w:val="0000"/>
      </w:tblPr>
      <w:tblGrid>
        <w:gridCol w:w="4125"/>
      </w:tblGrid>
      <w:tr w:rsidR="004B1DC3" w:rsidRPr="00F37A8D" w:rsidTr="009110BA">
        <w:trPr>
          <w:trHeight w:val="742"/>
        </w:trPr>
        <w:tc>
          <w:tcPr>
            <w:tcW w:w="4125" w:type="dxa"/>
          </w:tcPr>
          <w:p w:rsidR="004B1DC3" w:rsidRPr="00F37A8D" w:rsidRDefault="004B1DC3" w:rsidP="009110BA">
            <w:pPr>
              <w:jc w:val="center"/>
            </w:pPr>
            <w:r w:rsidRPr="00F37A8D">
              <w:rPr>
                <w:noProof/>
              </w:rPr>
              <w:drawing>
                <wp:inline distT="0" distB="0" distL="0" distR="0">
                  <wp:extent cx="365760" cy="4610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461010"/>
                          </a:xfrm>
                          <a:prstGeom prst="rect">
                            <a:avLst/>
                          </a:prstGeom>
                          <a:noFill/>
                          <a:ln>
                            <a:noFill/>
                          </a:ln>
                        </pic:spPr>
                      </pic:pic>
                    </a:graphicData>
                  </a:graphic>
                </wp:inline>
              </w:drawing>
            </w:r>
          </w:p>
        </w:tc>
      </w:tr>
      <w:tr w:rsidR="004B1DC3" w:rsidRPr="00F37A8D" w:rsidTr="009110BA">
        <w:trPr>
          <w:trHeight w:val="1130"/>
        </w:trPr>
        <w:tc>
          <w:tcPr>
            <w:tcW w:w="4125" w:type="dxa"/>
          </w:tcPr>
          <w:p w:rsidR="004B1DC3" w:rsidRPr="00F37A8D" w:rsidRDefault="004B1DC3" w:rsidP="009110BA">
            <w:pPr>
              <w:jc w:val="center"/>
              <w:rPr>
                <w:b/>
              </w:rPr>
            </w:pPr>
            <w:r w:rsidRPr="00F37A8D">
              <w:rPr>
                <w:b/>
              </w:rPr>
              <w:t>REPUBLIKA HRVATSKA</w:t>
            </w:r>
          </w:p>
          <w:p w:rsidR="004B1DC3" w:rsidRPr="00F37A8D" w:rsidRDefault="004B1DC3" w:rsidP="009110BA">
            <w:pPr>
              <w:jc w:val="center"/>
              <w:rPr>
                <w:b/>
              </w:rPr>
            </w:pPr>
            <w:r w:rsidRPr="00F37A8D">
              <w:rPr>
                <w:b/>
              </w:rPr>
              <w:t>ZAGREBAČKA ŽUPANIJA</w:t>
            </w:r>
          </w:p>
          <w:p w:rsidR="004B1DC3" w:rsidRPr="00F37A8D" w:rsidRDefault="004B1DC3" w:rsidP="009110BA">
            <w:pPr>
              <w:jc w:val="center"/>
              <w:rPr>
                <w:b/>
              </w:rPr>
            </w:pPr>
            <w:r w:rsidRPr="00F37A8D">
              <w:rPr>
                <w:b/>
              </w:rPr>
              <w:t>GRAD VELIKA GORICA</w:t>
            </w:r>
          </w:p>
          <w:p w:rsidR="004B1DC3" w:rsidRPr="00F37A8D" w:rsidRDefault="004B1DC3" w:rsidP="009110BA">
            <w:pPr>
              <w:jc w:val="center"/>
            </w:pPr>
            <w:r>
              <w:rPr>
                <w:b/>
              </w:rPr>
              <w:t>Upravni odjel za predškolski odgoj, školstvo i šport</w:t>
            </w:r>
          </w:p>
        </w:tc>
      </w:tr>
    </w:tbl>
    <w:p w:rsidR="004B1DC3" w:rsidRPr="00E333B6" w:rsidRDefault="004B1DC3" w:rsidP="004B1DC3">
      <w:pPr>
        <w:rPr>
          <w:b/>
          <w:caps/>
          <w:lang w:val="it-IT"/>
        </w:rPr>
      </w:pPr>
    </w:p>
    <w:p w:rsidR="004B1DC3" w:rsidRPr="000633FD" w:rsidRDefault="004B1DC3" w:rsidP="004B1DC3">
      <w:r w:rsidRPr="000633FD">
        <w:rPr>
          <w:caps/>
        </w:rPr>
        <w:t>Klasa:</w:t>
      </w:r>
      <w:r w:rsidRPr="000633FD">
        <w:t xml:space="preserve"> </w:t>
      </w:r>
      <w:r>
        <w:t>602-11/17-01/3</w:t>
      </w:r>
    </w:p>
    <w:p w:rsidR="004B1DC3" w:rsidRPr="000633FD" w:rsidRDefault="004B1DC3" w:rsidP="004B1DC3">
      <w:pPr>
        <w:rPr>
          <w:i/>
        </w:rPr>
      </w:pPr>
      <w:r w:rsidRPr="000633FD">
        <w:rPr>
          <w:caps/>
        </w:rPr>
        <w:t>Urbroj</w:t>
      </w:r>
      <w:r>
        <w:t>:</w:t>
      </w:r>
      <w:r w:rsidRPr="000633FD">
        <w:t xml:space="preserve"> 238-31-</w:t>
      </w:r>
      <w:r>
        <w:t>13/09160</w:t>
      </w:r>
      <w:r w:rsidRPr="000633FD">
        <w:t>-2017-1</w:t>
      </w:r>
      <w:r w:rsidRPr="000633FD">
        <w:tab/>
      </w:r>
      <w:r w:rsidRPr="000633FD">
        <w:tab/>
      </w:r>
      <w:r w:rsidRPr="000633FD">
        <w:tab/>
      </w:r>
      <w:r w:rsidRPr="000633FD">
        <w:tab/>
      </w:r>
      <w:r w:rsidRPr="000633FD">
        <w:tab/>
      </w:r>
      <w:r w:rsidRPr="000633FD">
        <w:rPr>
          <w:i/>
        </w:rPr>
        <w:tab/>
      </w:r>
    </w:p>
    <w:p w:rsidR="004B1DC3" w:rsidRPr="000633FD" w:rsidRDefault="004B1DC3" w:rsidP="004B1DC3">
      <w:r>
        <w:t>Velika Gorica,  4</w:t>
      </w:r>
      <w:r w:rsidRPr="000633FD">
        <w:t xml:space="preserve">. </w:t>
      </w:r>
      <w:r>
        <w:t xml:space="preserve">svibnja </w:t>
      </w:r>
      <w:r w:rsidRPr="000633FD">
        <w:t xml:space="preserve"> 2017.</w:t>
      </w:r>
    </w:p>
    <w:p w:rsidR="004B1DC3" w:rsidRDefault="004B1DC3" w:rsidP="004B1DC3">
      <w:pPr>
        <w:rPr>
          <w:b/>
        </w:rPr>
      </w:pPr>
    </w:p>
    <w:p w:rsidR="004B1DC3" w:rsidRDefault="004B1DC3" w:rsidP="004B1DC3">
      <w:pPr>
        <w:rPr>
          <w:b/>
        </w:rPr>
      </w:pPr>
    </w:p>
    <w:p w:rsidR="004B1DC3" w:rsidRPr="0071340D" w:rsidRDefault="004B1DC3" w:rsidP="004B1DC3">
      <w:pPr>
        <w:rPr>
          <w:b/>
        </w:rPr>
      </w:pPr>
    </w:p>
    <w:p w:rsidR="004B1DC3" w:rsidRPr="0071340D" w:rsidRDefault="004B1DC3" w:rsidP="004B1DC3">
      <w:r w:rsidRPr="0071340D">
        <w:tab/>
      </w:r>
      <w:r w:rsidRPr="0071340D">
        <w:tab/>
      </w:r>
      <w:r w:rsidRPr="0071340D">
        <w:tab/>
      </w:r>
      <w:r w:rsidRPr="0071340D">
        <w:tab/>
      </w:r>
      <w:r w:rsidRPr="0071340D">
        <w:tab/>
      </w:r>
      <w:r w:rsidRPr="0071340D">
        <w:tab/>
      </w:r>
      <w:r w:rsidRPr="0071340D">
        <w:tab/>
      </w:r>
      <w:r w:rsidRPr="0071340D">
        <w:tab/>
      </w:r>
      <w:r w:rsidRPr="0071340D">
        <w:tab/>
        <w:t>GRAD VELIKA GORICA</w:t>
      </w:r>
    </w:p>
    <w:p w:rsidR="004B1DC3" w:rsidRDefault="004B1DC3" w:rsidP="004B1DC3">
      <w:r w:rsidRPr="0071340D">
        <w:tab/>
      </w:r>
      <w:r w:rsidRPr="0071340D">
        <w:tab/>
      </w:r>
      <w:r w:rsidRPr="0071340D">
        <w:tab/>
      </w:r>
      <w:r w:rsidRPr="0071340D">
        <w:tab/>
      </w:r>
      <w:r w:rsidRPr="0071340D">
        <w:tab/>
      </w:r>
      <w:r w:rsidRPr="0071340D">
        <w:tab/>
      </w:r>
      <w:r w:rsidRPr="0071340D">
        <w:tab/>
      </w:r>
      <w:r w:rsidRPr="0071340D">
        <w:tab/>
        <w:t xml:space="preserve">                GRADONAČELNIK</w:t>
      </w:r>
    </w:p>
    <w:p w:rsidR="004B1DC3" w:rsidRDefault="004B1DC3" w:rsidP="004B1DC3"/>
    <w:p w:rsidR="004B1DC3" w:rsidRPr="0071340D" w:rsidRDefault="004B1DC3" w:rsidP="004B1DC3"/>
    <w:p w:rsidR="004B1DC3" w:rsidRPr="0071340D" w:rsidRDefault="004B1DC3" w:rsidP="004B1DC3"/>
    <w:p w:rsidR="004B1DC3" w:rsidRPr="0071340D" w:rsidRDefault="004B1DC3" w:rsidP="004B1DC3">
      <w:r w:rsidRPr="0071340D">
        <w:rPr>
          <w:b/>
        </w:rPr>
        <w:t>Predmet:</w:t>
      </w:r>
      <w:r w:rsidRPr="0071340D">
        <w:t xml:space="preserve"> Prijedlog Odluke o </w:t>
      </w:r>
      <w:r>
        <w:t>utvrđivanju prava i načina isplate jednokratnih novčanih pomoći učenicima i studentima</w:t>
      </w:r>
    </w:p>
    <w:p w:rsidR="004B1DC3" w:rsidRPr="0071340D" w:rsidRDefault="004B1DC3" w:rsidP="004B1DC3"/>
    <w:p w:rsidR="004B1DC3" w:rsidRPr="0071340D" w:rsidRDefault="004B1DC3" w:rsidP="004B1DC3">
      <w:r w:rsidRPr="0071340D">
        <w:t xml:space="preserve">U prilogu </w:t>
      </w:r>
      <w:r>
        <w:t xml:space="preserve">Vam </w:t>
      </w:r>
      <w:r w:rsidRPr="0071340D">
        <w:t xml:space="preserve">dostavljamo Prijedlog Odluke o </w:t>
      </w:r>
      <w:r>
        <w:t>utvrđivanju prava i načina isplate jednokratnih novčanih pomoći učenicima i studentima.</w:t>
      </w:r>
    </w:p>
    <w:p w:rsidR="004B1DC3" w:rsidRPr="0071340D" w:rsidRDefault="004B1DC3" w:rsidP="004B1DC3"/>
    <w:p w:rsidR="004B1DC3" w:rsidRPr="0071340D" w:rsidRDefault="004B1DC3" w:rsidP="004B1DC3">
      <w:r w:rsidRPr="0071340D">
        <w:tab/>
      </w:r>
      <w:r w:rsidRPr="0071340D">
        <w:tab/>
      </w:r>
    </w:p>
    <w:p w:rsidR="004B1DC3" w:rsidRPr="0071340D" w:rsidRDefault="004B1DC3" w:rsidP="004B1DC3">
      <w:pPr>
        <w:rPr>
          <w:b/>
        </w:rPr>
      </w:pPr>
      <w:r w:rsidRPr="0071340D">
        <w:tab/>
      </w:r>
      <w:r w:rsidRPr="0071340D">
        <w:tab/>
      </w:r>
      <w:r w:rsidRPr="0071340D">
        <w:tab/>
      </w:r>
      <w:r w:rsidRPr="0071340D">
        <w:tab/>
      </w:r>
      <w:r w:rsidRPr="0071340D">
        <w:tab/>
      </w:r>
      <w:r w:rsidRPr="0071340D">
        <w:rPr>
          <w:b/>
        </w:rPr>
        <w:t>Obrazloženje</w:t>
      </w:r>
    </w:p>
    <w:p w:rsidR="004B1DC3" w:rsidRPr="0071340D" w:rsidRDefault="004B1DC3" w:rsidP="004B1DC3"/>
    <w:p w:rsidR="004B1DC3" w:rsidRDefault="004B1DC3" w:rsidP="004B1DC3">
      <w:pPr>
        <w:jc w:val="both"/>
      </w:pPr>
      <w:r w:rsidRPr="0071340D">
        <w:tab/>
        <w:t xml:space="preserve">U tijeku obrade </w:t>
      </w:r>
      <w:r>
        <w:t>prijava kandidata za dodjelu stipendije Grada Velike Gorice utvrđeno je da postoje pojedine financijske potrebe učenika, odnosno studenata, a koji prema Pravilniku za dodjelu stipendija Grada Velike Gorice ne udovoljavaju uvjetima natječaja za dodjelu stipendije. Naime, Pravilnikom za dodjelu stipendija Grada Velike Gorice definirano je da se na natječaj mogu prijaviti učenici trećih razreda srednje škole te redovni studenti od druge godine dodiplomskog studija nadalje. Isto tako, navedeno je da opći uspjeh treba biti odličan, odnosno prema socijalnom statusu vrlo dobar. Iz navedenog proizlazi da dio učenika i studenata nemaju mogućnost biti novčano podržani u obrazovnom napredovanju (</w:t>
      </w:r>
      <w:proofErr w:type="spellStart"/>
      <w:r>
        <w:t>npr</w:t>
      </w:r>
      <w:proofErr w:type="spellEnd"/>
      <w:r>
        <w:t>. postižu izvanredne rezultate na natjecanjima u jednom ili više predmeta, a nemaju opći uspjeh odličan), kao niti mogućnost da se novčano pomogne kod novonastalih socijalnih situacija u obitelji učenika/studenta (</w:t>
      </w:r>
      <w:proofErr w:type="spellStart"/>
      <w:r>
        <w:t>npr</w:t>
      </w:r>
      <w:proofErr w:type="spellEnd"/>
      <w:r>
        <w:t xml:space="preserve">. radi iznenadnih teških bolesti, gubitka roditelja ili drugog bližeg člana u obitelji i </w:t>
      </w:r>
      <w:proofErr w:type="spellStart"/>
      <w:r>
        <w:t>sl</w:t>
      </w:r>
      <w:proofErr w:type="spellEnd"/>
      <w:r>
        <w:t xml:space="preserve">.) </w:t>
      </w:r>
    </w:p>
    <w:p w:rsidR="004B1DC3" w:rsidRPr="0071340D" w:rsidRDefault="004B1DC3" w:rsidP="004B1DC3">
      <w:r>
        <w:tab/>
        <w:t>Radi navedenog predlažemo da se donese Odluka o utvrđivanju prava i načina isplate jednokratnih novčanih pomoći učenicima i studentima.</w:t>
      </w:r>
    </w:p>
    <w:p w:rsidR="004B1DC3" w:rsidRDefault="004B1DC3" w:rsidP="004B1DC3">
      <w:pPr>
        <w:jc w:val="both"/>
      </w:pPr>
    </w:p>
    <w:p w:rsidR="004B1DC3" w:rsidRDefault="004B1DC3" w:rsidP="004B1DC3">
      <w:pPr>
        <w:jc w:val="both"/>
      </w:pPr>
    </w:p>
    <w:p w:rsidR="004B1DC3" w:rsidRDefault="004B1DC3" w:rsidP="004B1DC3">
      <w:pPr>
        <w:jc w:val="both"/>
      </w:pPr>
    </w:p>
    <w:p w:rsidR="004B1DC3" w:rsidRDefault="004B1DC3" w:rsidP="004B1DC3">
      <w:pPr>
        <w:jc w:val="both"/>
      </w:pPr>
    </w:p>
    <w:p w:rsidR="004B1DC3" w:rsidRDefault="004B1DC3" w:rsidP="004B1DC3">
      <w:pPr>
        <w:jc w:val="both"/>
      </w:pPr>
      <w:r>
        <w:tab/>
      </w:r>
      <w:r>
        <w:tab/>
      </w:r>
      <w:r>
        <w:tab/>
      </w:r>
      <w:r>
        <w:tab/>
      </w:r>
      <w:r>
        <w:tab/>
      </w:r>
      <w:r>
        <w:tab/>
      </w:r>
      <w:r>
        <w:tab/>
      </w:r>
      <w:r>
        <w:tab/>
      </w:r>
      <w:r>
        <w:tab/>
      </w:r>
      <w:r>
        <w:tab/>
        <w:t>Pročelnik</w:t>
      </w:r>
    </w:p>
    <w:p w:rsidR="004B1DC3" w:rsidRDefault="004B1DC3" w:rsidP="004B1DC3">
      <w:pPr>
        <w:jc w:val="both"/>
      </w:pPr>
    </w:p>
    <w:p w:rsidR="004B1DC3" w:rsidRDefault="004B1DC3" w:rsidP="004B1DC3">
      <w:pPr>
        <w:jc w:val="both"/>
      </w:pPr>
      <w:r>
        <w:tab/>
      </w:r>
      <w:r>
        <w:tab/>
      </w:r>
      <w:r>
        <w:tab/>
      </w:r>
      <w:r>
        <w:tab/>
      </w:r>
      <w:r>
        <w:tab/>
      </w:r>
      <w:r>
        <w:tab/>
      </w:r>
      <w:r>
        <w:tab/>
      </w:r>
      <w:r>
        <w:tab/>
      </w:r>
      <w:r>
        <w:tab/>
        <w:t xml:space="preserve">      Krešimir </w:t>
      </w:r>
      <w:proofErr w:type="spellStart"/>
      <w:r>
        <w:t>Ačkar</w:t>
      </w:r>
      <w:proofErr w:type="spellEnd"/>
      <w:r>
        <w:t xml:space="preserve">, </w:t>
      </w:r>
      <w:proofErr w:type="spellStart"/>
      <w:r>
        <w:t>prof</w:t>
      </w:r>
      <w:proofErr w:type="spellEnd"/>
      <w:r>
        <w:t>.</w:t>
      </w:r>
    </w:p>
    <w:p w:rsidR="00BF759F" w:rsidRDefault="00BF759F"/>
    <w:sectPr w:rsidR="00BF759F" w:rsidSect="00BF7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1DC3"/>
    <w:rsid w:val="004B1DC3"/>
    <w:rsid w:val="00BF759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C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B1DC3"/>
    <w:rPr>
      <w:rFonts w:ascii="Tahoma" w:hAnsi="Tahoma" w:cs="Tahoma"/>
      <w:sz w:val="16"/>
      <w:szCs w:val="16"/>
    </w:rPr>
  </w:style>
  <w:style w:type="character" w:customStyle="1" w:styleId="TekstbaloniaChar">
    <w:name w:val="Tekst balončića Char"/>
    <w:basedOn w:val="Zadanifontodlomka"/>
    <w:link w:val="Tekstbalonia"/>
    <w:uiPriority w:val="99"/>
    <w:semiHidden/>
    <w:rsid w:val="004B1DC3"/>
    <w:rPr>
      <w:rFonts w:ascii="Tahoma" w:eastAsia="Times New Roman" w:hAnsi="Tahoma" w:cs="Tahoma"/>
      <w:sz w:val="16"/>
      <w:szCs w:val="16"/>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1</cp:revision>
  <dcterms:created xsi:type="dcterms:W3CDTF">2017-05-10T10:15:00Z</dcterms:created>
  <dcterms:modified xsi:type="dcterms:W3CDTF">2017-05-10T10:15:00Z</dcterms:modified>
</cp:coreProperties>
</file>